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31C" w:rsidRDefault="00670B47" w:rsidP="00BF0A89">
      <w:bookmarkStart w:id="0" w:name="_GoBack"/>
      <w:r w:rsidRPr="00670B47">
        <w:rPr>
          <w:rStyle w:val="Heading3Char"/>
        </w:rPr>
        <w:t>Justice reforms – ‘Transforming Rehabilitation’</w:t>
      </w:r>
      <w:bookmarkEnd w:id="0"/>
      <w:r>
        <w:pict>
          <v:rect id="_x0000_i1025" style="width:451.3pt;height:1.5pt" o:hralign="center" o:hrstd="t" o:hrnoshade="t" o:hr="t" fillcolor="#d60f3c [3204]" stroked="f"/>
        </w:pict>
      </w:r>
    </w:p>
    <w:p w:rsidR="005A67C2" w:rsidRDefault="00670B47" w:rsidP="004153F2">
      <w:r>
        <w:t xml:space="preserve"> </w:t>
      </w:r>
      <w:r w:rsidR="005A67C2">
        <w:t>‘Transforming Rehabilitation’</w:t>
      </w:r>
      <w:r w:rsidR="00BE351C">
        <w:rPr>
          <w:rStyle w:val="FootnoteReference"/>
        </w:rPr>
        <w:footnoteReference w:id="1"/>
      </w:r>
      <w:r w:rsidR="004153F2">
        <w:t xml:space="preserve"> </w:t>
      </w:r>
      <w:r w:rsidR="005A67C2">
        <w:t>is the government's programme for how offenders are managed in England and Wales since February 2015.</w:t>
      </w:r>
      <w:r w:rsidR="005A67C2" w:rsidRPr="005A67C2">
        <w:t xml:space="preserve"> </w:t>
      </w:r>
      <w:r w:rsidR="005A67C2">
        <w:t>Major reforms introduced under programme:</w:t>
      </w:r>
      <w:r w:rsidR="00AE52C7">
        <w:br/>
      </w:r>
      <w:r w:rsidR="00AE52C7">
        <w:br/>
      </w:r>
      <w:r w:rsidR="00AE52C7" w:rsidRPr="00AE52C7">
        <w:rPr>
          <w:b/>
        </w:rPr>
        <w:t>A fee at the point of conviction</w:t>
      </w:r>
      <w:r w:rsidR="00AE52C7" w:rsidRPr="00AE52C7">
        <w:t xml:space="preserve"> </w:t>
      </w:r>
      <w:r w:rsidR="00AE52C7">
        <w:t xml:space="preserve">was introduced </w:t>
      </w:r>
      <w:r w:rsidR="00AE52C7" w:rsidRPr="00AE52C7">
        <w:t>to make criminals contribute towards the costs of running the courts system</w:t>
      </w:r>
      <w:r w:rsidR="00AE52C7">
        <w:t xml:space="preserve"> – this has since been abolished due to widespread condemnation and the resignation of </w:t>
      </w:r>
      <w:r w:rsidR="004153F2">
        <w:t>more than 50</w:t>
      </w:r>
      <w:r w:rsidR="00AE52C7">
        <w:t xml:space="preserve"> magistrates in protest</w:t>
      </w:r>
      <w:r w:rsidR="004153F2">
        <w:t>.</w:t>
      </w:r>
      <w:r w:rsidR="004153F2">
        <w:br/>
      </w:r>
      <w:r w:rsidR="004153F2">
        <w:br/>
      </w:r>
      <w:r w:rsidR="004153F2" w:rsidRPr="004153F2">
        <w:rPr>
          <w:b/>
        </w:rPr>
        <w:t>The maximum penalty for prisoners who fail to return from a period of temporary release increased from 6 months to 2 years in prison</w:t>
      </w:r>
      <w:r w:rsidR="004153F2">
        <w:rPr>
          <w:b/>
        </w:rPr>
        <w:t>.</w:t>
      </w:r>
    </w:p>
    <w:p w:rsidR="005A67C2" w:rsidRDefault="00AE52C7" w:rsidP="005A67C2">
      <w:r>
        <w:t xml:space="preserve">The </w:t>
      </w:r>
      <w:r w:rsidRPr="00AE52C7">
        <w:rPr>
          <w:b/>
        </w:rPr>
        <w:t xml:space="preserve">35 </w:t>
      </w:r>
      <w:r w:rsidR="005A67C2" w:rsidRPr="00AE52C7">
        <w:rPr>
          <w:b/>
        </w:rPr>
        <w:t xml:space="preserve">Probation Trusts </w:t>
      </w:r>
      <w:r w:rsidR="004153F2">
        <w:rPr>
          <w:b/>
        </w:rPr>
        <w:t>have been</w:t>
      </w:r>
      <w:r w:rsidR="005A67C2" w:rsidRPr="00AE52C7">
        <w:rPr>
          <w:b/>
        </w:rPr>
        <w:t xml:space="preserve"> replaced by a single National Probation Service</w:t>
      </w:r>
      <w:r w:rsidR="005A67C2">
        <w:t xml:space="preserve">, responsible for the management of high-risk offenders </w:t>
      </w:r>
      <w:r w:rsidR="005A67C2" w:rsidRPr="00AE52C7">
        <w:rPr>
          <w:b/>
        </w:rPr>
        <w:t>and 21 Community Rehabilitation Companies</w:t>
      </w:r>
      <w:r w:rsidR="005A67C2">
        <w:t xml:space="preserve"> (CRCs) responsible for the management of low to medium risk offenders. </w:t>
      </w:r>
      <w:r w:rsidR="004153F2">
        <w:t>For</w:t>
      </w:r>
      <w:r w:rsidR="00C53EC7">
        <w:t xml:space="preserve"> the first time</w:t>
      </w:r>
      <w:r w:rsidR="005A67C2">
        <w:t xml:space="preserve">, </w:t>
      </w:r>
      <w:r w:rsidR="005A67C2" w:rsidRPr="00AE52C7">
        <w:rPr>
          <w:b/>
        </w:rPr>
        <w:t>those sentenced to less than 12 months in prison are subject to supervision in the community upon release</w:t>
      </w:r>
      <w:r w:rsidR="005A67C2">
        <w:t xml:space="preserve">. CRCs are also responsible for supervising </w:t>
      </w:r>
      <w:r w:rsidR="004153F2">
        <w:t xml:space="preserve">these </w:t>
      </w:r>
      <w:r w:rsidR="005A67C2">
        <w:t>short-se</w:t>
      </w:r>
      <w:r w:rsidR="00C53EC7">
        <w:t>ntence prisoners after release.</w:t>
      </w:r>
    </w:p>
    <w:p w:rsidR="00084DD9" w:rsidRPr="00C53D43" w:rsidRDefault="00AE52C7" w:rsidP="00670B47">
      <w:r w:rsidRPr="00AE52C7">
        <w:rPr>
          <w:b/>
        </w:rPr>
        <w:t>60% of the probation service has been</w:t>
      </w:r>
      <w:r w:rsidR="005A67C2" w:rsidRPr="00AE52C7">
        <w:rPr>
          <w:b/>
        </w:rPr>
        <w:t xml:space="preserve"> outsourced/privatised</w:t>
      </w:r>
      <w:r w:rsidR="005A67C2">
        <w:t>: contracts were put out to tender and from 1 February 2015 the successful bidders in the competition took ownership of</w:t>
      </w:r>
      <w:r>
        <w:t xml:space="preserve"> and began running </w:t>
      </w:r>
      <w:r w:rsidR="005A67C2">
        <w:t xml:space="preserve">the 21 </w:t>
      </w:r>
      <w:r>
        <w:t>CRCs.</w:t>
      </w:r>
      <w:r w:rsidR="00C53EC7">
        <w:br/>
      </w:r>
      <w:r w:rsidR="00C53EC7">
        <w:br/>
      </w:r>
      <w:r w:rsidR="00BE351C">
        <w:t>CRC</w:t>
      </w:r>
      <w:r w:rsidR="00C53EC7" w:rsidRPr="00C53EC7">
        <w:t xml:space="preserve">s receive funding in two parts: a fee for some services, including </w:t>
      </w:r>
      <w:r w:rsidR="00C53EC7">
        <w:t>TTG</w:t>
      </w:r>
      <w:r w:rsidR="007E7C9E">
        <w:t xml:space="preserve"> services</w:t>
      </w:r>
      <w:r w:rsidR="004153F2">
        <w:rPr>
          <w:rStyle w:val="FootnoteReference"/>
        </w:rPr>
        <w:footnoteReference w:id="2"/>
      </w:r>
      <w:r w:rsidR="007E7C9E">
        <w:t xml:space="preserve"> </w:t>
      </w:r>
      <w:r w:rsidR="00C53EC7" w:rsidRPr="00C53EC7">
        <w:t xml:space="preserve">and delivering the court sentence and licence conditions. By December 2017 </w:t>
      </w:r>
      <w:r w:rsidR="00C53EC7" w:rsidRPr="004153F2">
        <w:rPr>
          <w:b/>
        </w:rPr>
        <w:t>they will receive Payment by Results payments if they achieve statistically significant reductions in reoffending</w:t>
      </w:r>
      <w:r w:rsidR="004153F2">
        <w:t>.</w:t>
      </w:r>
      <w:r w:rsidR="000F3785">
        <w:br/>
      </w:r>
      <w:r w:rsidR="000F3785">
        <w:br/>
        <w:t xml:space="preserve">A shift in attitude has been foreshadowed to focus on punishment rather than rehabilitation. The Ministry of Justice’s impact assessment of the proposals acknowledges that, “given a limit on the overall level of resources available for probation services, and the need for sentences to remain proportionate to the seriousness of the offending, </w:t>
      </w:r>
      <w:r w:rsidR="000F3785" w:rsidRPr="000F3785">
        <w:rPr>
          <w:b/>
        </w:rPr>
        <w:t>delivering top end community orders may cause a number of primarily rehabilitative requirements to be substituted for primarily punitive ones</w:t>
      </w:r>
      <w:r w:rsidR="000F3785">
        <w:t>.”</w:t>
      </w:r>
      <w:r w:rsidR="000F3785">
        <w:rPr>
          <w:rStyle w:val="FootnoteReference"/>
        </w:rPr>
        <w:footnoteReference w:id="3"/>
      </w:r>
    </w:p>
    <w:sectPr w:rsidR="00084DD9" w:rsidRPr="00C53D43" w:rsidSect="00D1031C">
      <w:head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1FB" w:rsidRDefault="009E61FB" w:rsidP="00A774D0">
      <w:pPr>
        <w:spacing w:after="0" w:line="240" w:lineRule="auto"/>
      </w:pPr>
      <w:r>
        <w:separator/>
      </w:r>
    </w:p>
  </w:endnote>
  <w:endnote w:type="continuationSeparator" w:id="0">
    <w:p w:rsidR="009E61FB" w:rsidRDefault="009E61FB" w:rsidP="00A77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CE-Light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1FB" w:rsidRDefault="009E61FB" w:rsidP="00A774D0">
      <w:pPr>
        <w:spacing w:after="0" w:line="240" w:lineRule="auto"/>
      </w:pPr>
      <w:r>
        <w:separator/>
      </w:r>
    </w:p>
  </w:footnote>
  <w:footnote w:type="continuationSeparator" w:id="0">
    <w:p w:rsidR="009E61FB" w:rsidRDefault="009E61FB" w:rsidP="00A774D0">
      <w:pPr>
        <w:spacing w:after="0" w:line="240" w:lineRule="auto"/>
      </w:pPr>
      <w:r>
        <w:continuationSeparator/>
      </w:r>
    </w:p>
  </w:footnote>
  <w:footnote w:id="1">
    <w:p w:rsidR="00BE351C" w:rsidRDefault="00BE351C" w:rsidP="00BE351C">
      <w:pPr>
        <w:pStyle w:val="FootnoteText"/>
      </w:pPr>
      <w:r>
        <w:rPr>
          <w:rStyle w:val="FootnoteReference"/>
        </w:rPr>
        <w:footnoteRef/>
      </w:r>
      <w:r>
        <w:t xml:space="preserve"> Bills and legislation: The Offender Rehabilitation Act 2014; The Legal Aid, Sentencing and Punishment of Offenders Act 2010-12; The Crime and Courts Act 2015</w:t>
      </w:r>
    </w:p>
  </w:footnote>
  <w:footnote w:id="2">
    <w:p w:rsidR="004153F2" w:rsidRDefault="004153F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153F2">
        <w:t>The CRCs started providing new Through the Gate (TTG) resettlement services to short-term prisoners from 1 May 2015. A network of resettlement prisons which house prisoners in the last weeks of their sentence was established and the CRCs provide resettlement services in those prisons.</w:t>
      </w:r>
    </w:p>
  </w:footnote>
  <w:footnote w:id="3">
    <w:p w:rsidR="000F3785" w:rsidRDefault="000F3785" w:rsidP="000F3785">
      <w:pPr>
        <w:pStyle w:val="FootnoteText"/>
      </w:pPr>
      <w:r>
        <w:rPr>
          <w:rStyle w:val="FootnoteReference"/>
        </w:rPr>
        <w:footnoteRef/>
      </w:r>
      <w:r>
        <w:t xml:space="preserve"> Ministry of Justice (2012), Impact assessment: Consultation on sentences in the community and the future shape of probation services, London: Ministry of Justice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4D0" w:rsidRDefault="00DB407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-552450</wp:posOffset>
          </wp:positionH>
          <wp:positionV relativeFrom="paragraph">
            <wp:posOffset>-171450</wp:posOffset>
          </wp:positionV>
          <wp:extent cx="1466850" cy="857250"/>
          <wp:effectExtent l="19050" t="0" r="0" b="0"/>
          <wp:wrapTight wrapText="bothSides">
            <wp:wrapPolygon edited="0">
              <wp:start x="-281" y="0"/>
              <wp:lineTo x="-281" y="21120"/>
              <wp:lineTo x="21600" y="21120"/>
              <wp:lineTo x="21600" y="0"/>
              <wp:lineTo x="-281" y="0"/>
            </wp:wrapPolygon>
          </wp:wrapTight>
          <wp:docPr id="9" name="Picture 5" descr="S:\1.Administration\1.4 Logos\NEW CSAN Brand 2012\CSAN_logo_colour_t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:\1.Administration\1.4 Logos\NEW CSAN Brand 2012\CSAN_logo_colour_ta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774D0" w:rsidRDefault="00A774D0">
    <w:pPr>
      <w:pStyle w:val="Header"/>
    </w:pPr>
  </w:p>
  <w:p w:rsidR="00A774D0" w:rsidRDefault="00A774D0">
    <w:pPr>
      <w:pStyle w:val="Header"/>
    </w:pPr>
  </w:p>
  <w:p w:rsidR="00A774D0" w:rsidRDefault="00A774D0">
    <w:pPr>
      <w:pStyle w:val="Header"/>
    </w:pPr>
  </w:p>
  <w:p w:rsidR="00A774D0" w:rsidRDefault="00A774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E43BE"/>
    <w:multiLevelType w:val="hybridMultilevel"/>
    <w:tmpl w:val="27B6C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B2B24"/>
    <w:multiLevelType w:val="hybridMultilevel"/>
    <w:tmpl w:val="8F063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1FB"/>
    <w:rsid w:val="000118A2"/>
    <w:rsid w:val="00084DD9"/>
    <w:rsid w:val="0009417D"/>
    <w:rsid w:val="000F3785"/>
    <w:rsid w:val="001850BB"/>
    <w:rsid w:val="001C4761"/>
    <w:rsid w:val="001C4881"/>
    <w:rsid w:val="001D17F5"/>
    <w:rsid w:val="001E281D"/>
    <w:rsid w:val="002711D8"/>
    <w:rsid w:val="00290620"/>
    <w:rsid w:val="002B0E80"/>
    <w:rsid w:val="002B2B39"/>
    <w:rsid w:val="002D27DE"/>
    <w:rsid w:val="00347CFA"/>
    <w:rsid w:val="00382503"/>
    <w:rsid w:val="004153F2"/>
    <w:rsid w:val="00442B26"/>
    <w:rsid w:val="005616EE"/>
    <w:rsid w:val="005745C0"/>
    <w:rsid w:val="005813B5"/>
    <w:rsid w:val="00591F33"/>
    <w:rsid w:val="005A67C2"/>
    <w:rsid w:val="00604F7D"/>
    <w:rsid w:val="00670B47"/>
    <w:rsid w:val="006934C2"/>
    <w:rsid w:val="006A3604"/>
    <w:rsid w:val="006B2B07"/>
    <w:rsid w:val="006C4B80"/>
    <w:rsid w:val="006D5D3B"/>
    <w:rsid w:val="006F647B"/>
    <w:rsid w:val="00783C05"/>
    <w:rsid w:val="007B3525"/>
    <w:rsid w:val="007E3CEA"/>
    <w:rsid w:val="007E7C9E"/>
    <w:rsid w:val="00833B93"/>
    <w:rsid w:val="00862D19"/>
    <w:rsid w:val="00865DB6"/>
    <w:rsid w:val="00883DA1"/>
    <w:rsid w:val="008C1ABD"/>
    <w:rsid w:val="009A3AE3"/>
    <w:rsid w:val="009E61FB"/>
    <w:rsid w:val="00A01786"/>
    <w:rsid w:val="00A774D0"/>
    <w:rsid w:val="00AE52C7"/>
    <w:rsid w:val="00B04539"/>
    <w:rsid w:val="00B1776B"/>
    <w:rsid w:val="00BE351C"/>
    <w:rsid w:val="00BF0A89"/>
    <w:rsid w:val="00C53D43"/>
    <w:rsid w:val="00C53EC7"/>
    <w:rsid w:val="00C5498A"/>
    <w:rsid w:val="00CB183B"/>
    <w:rsid w:val="00D06329"/>
    <w:rsid w:val="00D1031C"/>
    <w:rsid w:val="00D11E2D"/>
    <w:rsid w:val="00DB4071"/>
    <w:rsid w:val="00DC6520"/>
    <w:rsid w:val="00DE4EAB"/>
    <w:rsid w:val="00E608E8"/>
    <w:rsid w:val="00E80CE7"/>
    <w:rsid w:val="00F40FED"/>
    <w:rsid w:val="00F43220"/>
    <w:rsid w:val="00F43CCC"/>
    <w:rsid w:val="00F51D79"/>
    <w:rsid w:val="00F62E4E"/>
    <w:rsid w:val="00F91BF9"/>
    <w:rsid w:val="00FC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742C144-8F66-4613-AE5A-449FC583C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" w:eastAsiaTheme="minorHAnsi" w:hAnsi="Helvetica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498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498A"/>
    <w:pPr>
      <w:keepNext/>
      <w:keepLines/>
      <w:spacing w:before="200"/>
      <w:outlineLvl w:val="0"/>
    </w:pPr>
    <w:rPr>
      <w:rFonts w:eastAsiaTheme="majorEastAsia" w:cstheme="majorBidi"/>
      <w:b/>
      <w:bCs/>
      <w:color w:val="213C47" w:themeColor="accen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498A"/>
    <w:pPr>
      <w:keepNext/>
      <w:keepLines/>
      <w:spacing w:before="200"/>
      <w:outlineLvl w:val="1"/>
    </w:pPr>
    <w:rPr>
      <w:rFonts w:eastAsiaTheme="majorEastAsia" w:cstheme="majorBidi"/>
      <w:b/>
      <w:bCs/>
      <w:color w:val="D60F3C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498A"/>
    <w:pPr>
      <w:keepNext/>
      <w:keepLines/>
      <w:spacing w:before="200"/>
      <w:outlineLvl w:val="2"/>
    </w:pPr>
    <w:rPr>
      <w:rFonts w:eastAsiaTheme="majorEastAsia" w:cstheme="majorBidi"/>
      <w:bCs/>
      <w:color w:val="D60F3C" w:themeColor="accent1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5498A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213C47" w:themeColor="background2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C5498A"/>
    <w:pPr>
      <w:spacing w:after="0"/>
      <w:outlineLvl w:val="4"/>
    </w:pPr>
    <w:rPr>
      <w:color w:val="D60F3C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47C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A071D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qFormat/>
    <w:rsid w:val="001850BB"/>
    <w:pPr>
      <w:spacing w:before="80"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tblPr/>
      <w:tcPr>
        <w:shd w:val="clear" w:color="auto" w:fill="213C47" w:themeFill="accent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5498A"/>
    <w:rPr>
      <w:rFonts w:ascii="Arial" w:eastAsiaTheme="majorEastAsia" w:hAnsi="Arial" w:cstheme="majorBidi"/>
      <w:b/>
      <w:bCs/>
      <w:color w:val="213C47" w:themeColor="accent2"/>
      <w:sz w:val="32"/>
      <w:szCs w:val="28"/>
    </w:rPr>
  </w:style>
  <w:style w:type="paragraph" w:styleId="Title">
    <w:name w:val="Title"/>
    <w:basedOn w:val="Normal"/>
    <w:next w:val="Normal"/>
    <w:link w:val="TitleChar"/>
    <w:uiPriority w:val="10"/>
    <w:rsid w:val="001850BB"/>
    <w:pPr>
      <w:pBdr>
        <w:bottom w:val="single" w:sz="8" w:space="4" w:color="D60F3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A00B2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50BB"/>
    <w:rPr>
      <w:rFonts w:asciiTheme="majorHAnsi" w:eastAsiaTheme="majorEastAsia" w:hAnsiTheme="majorHAnsi" w:cstheme="majorBidi"/>
      <w:color w:val="A00B2C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498A"/>
    <w:pPr>
      <w:keepNext/>
      <w:keepLines/>
      <w:numPr>
        <w:ilvl w:val="1"/>
      </w:numPr>
      <w:spacing w:before="200"/>
      <w:outlineLvl w:val="0"/>
    </w:pPr>
    <w:rPr>
      <w:rFonts w:eastAsiaTheme="majorEastAsia" w:cstheme="majorBidi"/>
      <w:iCs/>
      <w:color w:val="D60F3C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5498A"/>
    <w:rPr>
      <w:rFonts w:ascii="Arial" w:eastAsiaTheme="majorEastAsia" w:hAnsi="Arial" w:cstheme="majorBidi"/>
      <w:iCs/>
      <w:color w:val="D60F3C" w:themeColor="accent1"/>
      <w:spacing w:val="15"/>
      <w:sz w:val="24"/>
      <w:szCs w:val="24"/>
    </w:rPr>
  </w:style>
  <w:style w:type="paragraph" w:styleId="NoSpacing">
    <w:name w:val="No Spacing"/>
    <w:autoRedefine/>
    <w:uiPriority w:val="1"/>
    <w:qFormat/>
    <w:rsid w:val="00C5498A"/>
    <w:pPr>
      <w:spacing w:after="0" w:line="240" w:lineRule="auto"/>
    </w:pPr>
    <w:rPr>
      <w:rFonts w:ascii="Arial" w:hAnsi="Arial"/>
    </w:rPr>
  </w:style>
  <w:style w:type="character" w:styleId="SubtleReference">
    <w:name w:val="Subtle Reference"/>
    <w:basedOn w:val="DefaultParagraphFont"/>
    <w:uiPriority w:val="31"/>
    <w:qFormat/>
    <w:rsid w:val="00C5498A"/>
    <w:rPr>
      <w:smallCaps/>
      <w:color w:val="213C47" w:themeColor="accent2"/>
      <w:u w:val="single"/>
    </w:rPr>
  </w:style>
  <w:style w:type="paragraph" w:customStyle="1" w:styleId="CSANTitle">
    <w:name w:val="CSAN Title"/>
    <w:basedOn w:val="Heading1"/>
    <w:qFormat/>
    <w:rsid w:val="00C5498A"/>
    <w:pPr>
      <w:spacing w:line="240" w:lineRule="auto"/>
    </w:pPr>
    <w:rPr>
      <w:b w:val="0"/>
      <w:color w:val="213C47" w:themeColor="background2"/>
      <w:sz w:val="50"/>
    </w:rPr>
  </w:style>
  <w:style w:type="character" w:customStyle="1" w:styleId="Heading2Char">
    <w:name w:val="Heading 2 Char"/>
    <w:basedOn w:val="DefaultParagraphFont"/>
    <w:link w:val="Heading2"/>
    <w:uiPriority w:val="9"/>
    <w:rsid w:val="00C5498A"/>
    <w:rPr>
      <w:rFonts w:ascii="Arial" w:eastAsiaTheme="majorEastAsia" w:hAnsi="Arial" w:cstheme="majorBidi"/>
      <w:b/>
      <w:bCs/>
      <w:color w:val="D60F3C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5498A"/>
    <w:rPr>
      <w:rFonts w:ascii="Arial" w:eastAsiaTheme="majorEastAsia" w:hAnsi="Arial" w:cstheme="majorBidi"/>
      <w:bCs/>
      <w:color w:val="D60F3C" w:themeColor="accent1"/>
      <w:sz w:val="30"/>
    </w:rPr>
  </w:style>
  <w:style w:type="character" w:styleId="Strong">
    <w:name w:val="Strong"/>
    <w:basedOn w:val="DefaultParagraphFont"/>
    <w:uiPriority w:val="22"/>
    <w:qFormat/>
    <w:rsid w:val="00C5498A"/>
    <w:rPr>
      <w:rFonts w:ascii="Arial" w:hAnsi="Arial"/>
      <w:b/>
      <w:bCs/>
    </w:rPr>
  </w:style>
  <w:style w:type="character" w:styleId="Emphasis">
    <w:name w:val="Emphasis"/>
    <w:basedOn w:val="DefaultParagraphFont"/>
    <w:uiPriority w:val="20"/>
    <w:rsid w:val="00CB183B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C5498A"/>
    <w:rPr>
      <w:rFonts w:ascii="HelveticaNeueCE-Light" w:hAnsi="HelveticaNeueCE-Light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5498A"/>
    <w:rPr>
      <w:rFonts w:ascii="HelveticaNeueCE-Light" w:hAnsi="HelveticaNeueCE-Light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498A"/>
    <w:pPr>
      <w:pBdr>
        <w:bottom w:val="single" w:sz="4" w:space="4" w:color="D60F3C" w:themeColor="accent1"/>
      </w:pBdr>
      <w:spacing w:before="200" w:after="280"/>
      <w:ind w:left="936" w:right="936"/>
    </w:pPr>
    <w:rPr>
      <w:rFonts w:ascii="HelveticaNeueCE-Light" w:hAnsi="HelveticaNeueCE-Light"/>
      <w:b/>
      <w:bCs/>
      <w:i/>
      <w:iCs/>
      <w:color w:val="D60F3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498A"/>
    <w:rPr>
      <w:rFonts w:ascii="HelveticaNeueCE-Light" w:hAnsi="HelveticaNeueCE-Light"/>
      <w:b/>
      <w:bCs/>
      <w:i/>
      <w:iCs/>
      <w:color w:val="D60F3C" w:themeColor="accent1"/>
    </w:rPr>
  </w:style>
  <w:style w:type="character" w:styleId="SubtleEmphasis">
    <w:name w:val="Subtle Emphasis"/>
    <w:basedOn w:val="DefaultParagraphFont"/>
    <w:uiPriority w:val="19"/>
    <w:rsid w:val="00CB183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CB183B"/>
    <w:rPr>
      <w:b/>
      <w:bCs/>
      <w:i/>
      <w:iCs/>
      <w:color w:val="D60F3C" w:themeColor="accent1"/>
    </w:rPr>
  </w:style>
  <w:style w:type="character" w:styleId="IntenseReference">
    <w:name w:val="Intense Reference"/>
    <w:basedOn w:val="DefaultParagraphFont"/>
    <w:uiPriority w:val="32"/>
    <w:qFormat/>
    <w:rsid w:val="00C5498A"/>
    <w:rPr>
      <w:b/>
      <w:bCs/>
      <w:smallCaps/>
      <w:color w:val="213C47" w:themeColor="accent2"/>
      <w:spacing w:val="5"/>
      <w:u w:val="single"/>
    </w:rPr>
  </w:style>
  <w:style w:type="table" w:styleId="TableGrid">
    <w:name w:val="Table Grid"/>
    <w:basedOn w:val="TableNormal"/>
    <w:uiPriority w:val="59"/>
    <w:rsid w:val="00865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5498A"/>
    <w:rPr>
      <w:rFonts w:ascii="Arial" w:eastAsiaTheme="majorEastAsia" w:hAnsi="Arial" w:cstheme="majorBidi"/>
      <w:b/>
      <w:bCs/>
      <w:iCs/>
      <w:color w:val="213C47" w:themeColor="background2"/>
    </w:rPr>
  </w:style>
  <w:style w:type="paragraph" w:customStyle="1" w:styleId="Subtitle2">
    <w:name w:val="Subtitle 2"/>
    <w:basedOn w:val="Heading4"/>
    <w:qFormat/>
    <w:rsid w:val="00C5498A"/>
    <w:rPr>
      <w:b w:val="0"/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5498A"/>
    <w:rPr>
      <w:rFonts w:ascii="Arial" w:eastAsiaTheme="majorEastAsia" w:hAnsi="Arial" w:cstheme="majorBidi"/>
      <w:b/>
      <w:bCs/>
      <w:iCs/>
      <w:color w:val="D60F3C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347CFA"/>
    <w:rPr>
      <w:rFonts w:asciiTheme="majorHAnsi" w:eastAsiaTheme="majorEastAsia" w:hAnsiTheme="majorHAnsi" w:cstheme="majorBidi"/>
      <w:i/>
      <w:iCs/>
      <w:color w:val="6A071D" w:themeColor="accent1" w:themeShade="7F"/>
    </w:rPr>
  </w:style>
  <w:style w:type="paragraph" w:styleId="Header">
    <w:name w:val="header"/>
    <w:basedOn w:val="Normal"/>
    <w:link w:val="HeaderChar"/>
    <w:uiPriority w:val="99"/>
    <w:semiHidden/>
    <w:unhideWhenUsed/>
    <w:rsid w:val="00A774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74D0"/>
    <w:rPr>
      <w:rFonts w:ascii="HelveticaNeueCE-Light" w:hAnsi="HelveticaNeueCE-Light"/>
    </w:rPr>
  </w:style>
  <w:style w:type="paragraph" w:styleId="Footer">
    <w:name w:val="footer"/>
    <w:basedOn w:val="Normal"/>
    <w:link w:val="FooterChar"/>
    <w:uiPriority w:val="99"/>
    <w:semiHidden/>
    <w:unhideWhenUsed/>
    <w:rsid w:val="00A774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74D0"/>
    <w:rPr>
      <w:rFonts w:ascii="HelveticaNeueCE-Light" w:hAnsi="HelveticaNeueCE-Light"/>
    </w:rPr>
  </w:style>
  <w:style w:type="character" w:styleId="Hyperlink">
    <w:name w:val="Hyperlink"/>
    <w:basedOn w:val="DefaultParagraphFont"/>
    <w:uiPriority w:val="99"/>
    <w:unhideWhenUsed/>
    <w:rsid w:val="00290620"/>
    <w:rPr>
      <w:color w:val="0000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281D"/>
    <w:rPr>
      <w:color w:val="00000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E281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E281D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281D"/>
    <w:rPr>
      <w:vertAlign w:val="superscript"/>
    </w:rPr>
  </w:style>
  <w:style w:type="paragraph" w:styleId="ListParagraph">
    <w:name w:val="List Paragraph"/>
    <w:basedOn w:val="Normal"/>
    <w:uiPriority w:val="34"/>
    <w:qFormat/>
    <w:rsid w:val="001E281D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8C1AB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1ABD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C1AB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ith.anderson\Desktop\Report.dotx" TargetMode="External"/></Relationships>
</file>

<file path=word/theme/theme1.xml><?xml version="1.0" encoding="utf-8"?>
<a:theme xmlns:a="http://schemas.openxmlformats.org/drawingml/2006/main" name="Office Theme">
  <a:themeElements>
    <a:clrScheme name="CSAN colour scheme">
      <a:dk1>
        <a:sysClr val="windowText" lastClr="000000"/>
      </a:dk1>
      <a:lt1>
        <a:sysClr val="window" lastClr="FFFFFF"/>
      </a:lt1>
      <a:dk2>
        <a:srgbClr val="D60F3C"/>
      </a:dk2>
      <a:lt2>
        <a:srgbClr val="213C47"/>
      </a:lt2>
      <a:accent1>
        <a:srgbClr val="D60F3C"/>
      </a:accent1>
      <a:accent2>
        <a:srgbClr val="213C47"/>
      </a:accent2>
      <a:accent3>
        <a:srgbClr val="009CDD"/>
      </a:accent3>
      <a:accent4>
        <a:srgbClr val="920097"/>
      </a:accent4>
      <a:accent5>
        <a:srgbClr val="EF7D00"/>
      </a:accent5>
      <a:accent6>
        <a:srgbClr val="76B82A"/>
      </a:accent6>
      <a:hlink>
        <a:srgbClr val="000000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5A5B2-4624-4BA8-BC64-8458D22C0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</Template>
  <TotalTime>0</TotalTime>
  <Pages>1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Faith Anderson</dc:creator>
  <cp:lastModifiedBy>Faith Anderson</cp:lastModifiedBy>
  <cp:revision>2</cp:revision>
  <dcterms:created xsi:type="dcterms:W3CDTF">2016-02-18T13:13:00Z</dcterms:created>
  <dcterms:modified xsi:type="dcterms:W3CDTF">2016-02-18T13:13:00Z</dcterms:modified>
</cp:coreProperties>
</file>